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EB" w:rsidRPr="00F92579" w:rsidRDefault="00D62F54" w:rsidP="004A7AEB">
      <w:pPr>
        <w:spacing w:line="240" w:lineRule="exact"/>
        <w:ind w:left="-1276" w:right="139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F92579">
        <w:rPr>
          <w:rFonts w:ascii="Arial" w:hAnsi="Arial" w:cs="Arial"/>
          <w:sz w:val="20"/>
          <w:szCs w:val="20"/>
          <w:u w:val="single"/>
        </w:rPr>
        <w:t>ANNEXE II</w:t>
      </w:r>
      <w:r w:rsidR="004A7AEB">
        <w:rPr>
          <w:rFonts w:ascii="Arial" w:hAnsi="Arial" w:cs="Arial"/>
          <w:sz w:val="20"/>
          <w:szCs w:val="20"/>
          <w:u w:val="single"/>
        </w:rPr>
        <w:t xml:space="preserve"> </w:t>
      </w:r>
      <w:r w:rsidR="004A7AEB" w:rsidRPr="00F92579">
        <w:rPr>
          <w:rFonts w:ascii="Arial" w:hAnsi="Arial" w:cs="Arial"/>
          <w:sz w:val="20"/>
          <w:szCs w:val="20"/>
          <w:u w:val="single"/>
        </w:rPr>
        <w:t>DEROULEMENT DES COMMISSIONS D’</w:t>
      </w:r>
      <w:r w:rsidR="004A7AEB">
        <w:rPr>
          <w:rFonts w:ascii="Arial" w:hAnsi="Arial" w:cs="Arial"/>
          <w:sz w:val="20"/>
          <w:szCs w:val="20"/>
          <w:u w:val="single"/>
        </w:rPr>
        <w:t>ENTRETIEN</w:t>
      </w:r>
      <w:r w:rsidR="004A7AEB" w:rsidRPr="00F92579">
        <w:rPr>
          <w:rFonts w:ascii="Arial" w:hAnsi="Arial" w:cs="Arial"/>
          <w:sz w:val="20"/>
          <w:szCs w:val="20"/>
          <w:u w:val="single"/>
        </w:rPr>
        <w:t xml:space="preserve"> DE DIRECTION D’ECOLE SPECIALISEE OU D’ECOLE D’APPLICATION.</w:t>
      </w:r>
    </w:p>
    <w:p w:rsidR="00D62F54" w:rsidRPr="00F92579" w:rsidRDefault="00D62F54" w:rsidP="004A7AEB">
      <w:pPr>
        <w:shd w:val="clear" w:color="auto" w:fill="FFFFFF"/>
        <w:spacing w:line="240" w:lineRule="exact"/>
        <w:ind w:left="-1701" w:right="139"/>
        <w:jc w:val="center"/>
        <w:rPr>
          <w:rFonts w:ascii="Arial" w:hAnsi="Arial" w:cs="Arial"/>
          <w:sz w:val="20"/>
          <w:szCs w:val="20"/>
          <w:u w:val="single"/>
        </w:rPr>
      </w:pPr>
    </w:p>
    <w:p w:rsidR="00D62F54" w:rsidRPr="00F92579" w:rsidRDefault="00D62F54" w:rsidP="00D62F54">
      <w:pPr>
        <w:spacing w:line="240" w:lineRule="exact"/>
        <w:ind w:right="139"/>
        <w:jc w:val="both"/>
        <w:rPr>
          <w:rFonts w:ascii="Arial" w:hAnsi="Arial" w:cs="Arial"/>
          <w:sz w:val="20"/>
          <w:szCs w:val="20"/>
          <w:u w:val="single"/>
        </w:rPr>
      </w:pPr>
    </w:p>
    <w:p w:rsidR="00D62F54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  <w:r w:rsidRPr="00F92579">
        <w:rPr>
          <w:rFonts w:ascii="Arial" w:hAnsi="Arial" w:cs="Arial"/>
          <w:sz w:val="20"/>
          <w:szCs w:val="20"/>
          <w:u w:val="single"/>
        </w:rPr>
        <w:t xml:space="preserve">► Conditions </w:t>
      </w: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 xml:space="preserve"> </w:t>
      </w:r>
    </w:p>
    <w:p w:rsidR="00D62F54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Peuvent solliciter leur inscription sur les listes d'aptitude les</w:t>
      </w:r>
      <w:r>
        <w:rPr>
          <w:rFonts w:ascii="Arial" w:hAnsi="Arial" w:cs="Arial"/>
          <w:sz w:val="20"/>
          <w:szCs w:val="20"/>
        </w:rPr>
        <w:t xml:space="preserve"> institutrices et</w:t>
      </w:r>
      <w:r w:rsidRPr="00F92579">
        <w:rPr>
          <w:rFonts w:ascii="Arial" w:hAnsi="Arial" w:cs="Arial"/>
          <w:sz w:val="20"/>
          <w:szCs w:val="20"/>
        </w:rPr>
        <w:t xml:space="preserve"> instituteurs </w:t>
      </w:r>
      <w:r>
        <w:rPr>
          <w:rFonts w:ascii="Arial" w:hAnsi="Arial" w:cs="Arial"/>
          <w:sz w:val="20"/>
          <w:szCs w:val="20"/>
        </w:rPr>
        <w:t>ainsi que les professeures et</w:t>
      </w:r>
      <w:r w:rsidRPr="00F92579">
        <w:rPr>
          <w:rFonts w:ascii="Arial" w:hAnsi="Arial" w:cs="Arial"/>
          <w:sz w:val="20"/>
          <w:szCs w:val="20"/>
        </w:rPr>
        <w:t xml:space="preserve"> professeurs des écoles titulaires, les </w:t>
      </w:r>
      <w:r>
        <w:rPr>
          <w:rFonts w:ascii="Arial" w:hAnsi="Arial" w:cs="Arial"/>
          <w:sz w:val="20"/>
          <w:szCs w:val="20"/>
        </w:rPr>
        <w:t xml:space="preserve">directrices et </w:t>
      </w:r>
      <w:r w:rsidRPr="00F92579">
        <w:rPr>
          <w:rFonts w:ascii="Arial" w:hAnsi="Arial" w:cs="Arial"/>
          <w:sz w:val="20"/>
          <w:szCs w:val="20"/>
        </w:rPr>
        <w:t>directeurs d’école maternelle ou élémentaire, remplissant les conditions suivantes :</w:t>
      </w: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1520"/>
        <w:gridCol w:w="2233"/>
        <w:gridCol w:w="2234"/>
      </w:tblGrid>
      <w:tr w:rsidR="00D62F54" w:rsidRPr="00F92579" w:rsidTr="00634964">
        <w:trPr>
          <w:trHeight w:val="944"/>
        </w:trPr>
        <w:tc>
          <w:tcPr>
            <w:tcW w:w="3428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Liste d’aptitude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Âge minimum au 1</w:t>
            </w:r>
            <w:r w:rsidRPr="00F92579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 2023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Ancienneté générale de service au 1</w:t>
            </w:r>
            <w:r w:rsidRPr="00F92579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 2023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Titre ou diplômes requis</w:t>
            </w:r>
          </w:p>
        </w:tc>
      </w:tr>
      <w:tr w:rsidR="00D62F54" w:rsidRPr="00F92579" w:rsidTr="00634964">
        <w:trPr>
          <w:trHeight w:val="944"/>
        </w:trPr>
        <w:tc>
          <w:tcPr>
            <w:tcW w:w="3428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 xml:space="preserve">Enseignement spécialisé : </w:t>
            </w:r>
          </w:p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Ecoles comportant au moins trois classes spécialisées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2F54" w:rsidRPr="00B5201D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B5201D">
              <w:rPr>
                <w:rFonts w:ascii="Arial" w:hAnsi="Arial" w:cs="Arial"/>
                <w:sz w:val="20"/>
                <w:szCs w:val="20"/>
              </w:rPr>
              <w:t>30 ans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Aucune condition requise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Etre titulaire du diplôme d’établissement d’éducation adaptée et spécialisée DDEAS</w:t>
            </w:r>
          </w:p>
        </w:tc>
      </w:tr>
      <w:tr w:rsidR="00D62F54" w:rsidRPr="00F92579" w:rsidTr="00634964">
        <w:trPr>
          <w:trHeight w:val="944"/>
        </w:trPr>
        <w:tc>
          <w:tcPr>
            <w:tcW w:w="3428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 xml:space="preserve">Enseignement spécialisé : </w:t>
            </w:r>
          </w:p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Ecoles comportant au moins trois classes spécialisées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2F54" w:rsidRPr="00B5201D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B5201D">
              <w:rPr>
                <w:rFonts w:ascii="Arial" w:hAnsi="Arial" w:cs="Arial"/>
                <w:sz w:val="20"/>
                <w:szCs w:val="20"/>
              </w:rPr>
              <w:t>30 ans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8 ans d’ancienneté en qualité d’enseignant dont 5 ans dans l’enseignement spécialisés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titulaire du </w:t>
            </w:r>
            <w:r w:rsidRPr="00F92579">
              <w:rPr>
                <w:rFonts w:ascii="Arial" w:hAnsi="Arial" w:cs="Arial"/>
                <w:sz w:val="20"/>
                <w:szCs w:val="20"/>
              </w:rPr>
              <w:t>DDEAS mais titulaire CAPPEI ou équivalent</w:t>
            </w:r>
          </w:p>
        </w:tc>
      </w:tr>
      <w:tr w:rsidR="00D62F54" w:rsidRPr="00F92579" w:rsidTr="00634964">
        <w:trPr>
          <w:trHeight w:val="944"/>
        </w:trPr>
        <w:tc>
          <w:tcPr>
            <w:tcW w:w="3428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Ecole d’application : écoles d’applications : au moins 4 classes</w:t>
            </w:r>
          </w:p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Autres écoles : au moins 3 classes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2F54" w:rsidRPr="00B5201D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B5201D">
              <w:rPr>
                <w:rFonts w:ascii="Arial" w:hAnsi="Arial" w:cs="Arial"/>
                <w:sz w:val="20"/>
                <w:szCs w:val="20"/>
              </w:rPr>
              <w:t>30 ans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8 ans d’ancienneté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D62F54" w:rsidRPr="00F92579" w:rsidRDefault="00D62F54" w:rsidP="00634964">
            <w:pPr>
              <w:spacing w:line="240" w:lineRule="exact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F92579">
              <w:rPr>
                <w:rFonts w:ascii="Arial" w:hAnsi="Arial" w:cs="Arial"/>
                <w:sz w:val="20"/>
                <w:szCs w:val="20"/>
              </w:rPr>
              <w:t>Etre titulaire CAFIPEMF</w:t>
            </w:r>
          </w:p>
        </w:tc>
      </w:tr>
    </w:tbl>
    <w:p w:rsidR="00D62F54" w:rsidRPr="00F92579" w:rsidRDefault="00D62F54" w:rsidP="00D62F5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right="139"/>
        <w:jc w:val="both"/>
        <w:rPr>
          <w:rFonts w:ascii="Arial" w:hAnsi="Arial" w:cs="Arial"/>
          <w:sz w:val="20"/>
          <w:szCs w:val="20"/>
          <w:u w:val="single"/>
        </w:rPr>
      </w:pP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</w:p>
    <w:p w:rsidR="00D62F54" w:rsidRPr="00F92579" w:rsidRDefault="00D62F54" w:rsidP="00D62F5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  <w:r w:rsidRPr="00F92579">
        <w:rPr>
          <w:rFonts w:ascii="Arial" w:hAnsi="Arial" w:cs="Arial"/>
          <w:sz w:val="20"/>
          <w:szCs w:val="20"/>
          <w:u w:val="single"/>
        </w:rPr>
        <w:t>► Dépôt des candidatures : mêmes conditions que celles figurant sur l’annexe I</w:t>
      </w: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Cependant, les enseignant</w:t>
      </w:r>
      <w:r>
        <w:rPr>
          <w:rFonts w:ascii="Arial" w:hAnsi="Arial" w:cs="Arial"/>
          <w:sz w:val="20"/>
          <w:szCs w:val="20"/>
        </w:rPr>
        <w:t>(e)</w:t>
      </w:r>
      <w:r w:rsidRPr="00F92579">
        <w:rPr>
          <w:rFonts w:ascii="Arial" w:hAnsi="Arial" w:cs="Arial"/>
          <w:sz w:val="20"/>
          <w:szCs w:val="20"/>
        </w:rPr>
        <w:t>s formuleront leur dem</w:t>
      </w:r>
      <w:r w:rsidR="006B03DE">
        <w:rPr>
          <w:rFonts w:ascii="Arial" w:hAnsi="Arial" w:cs="Arial"/>
          <w:sz w:val="20"/>
          <w:szCs w:val="20"/>
        </w:rPr>
        <w:t>ande sur les dossiers</w:t>
      </w:r>
      <w:r w:rsidRPr="00F92579">
        <w:rPr>
          <w:rFonts w:ascii="Arial" w:hAnsi="Arial" w:cs="Arial"/>
          <w:sz w:val="20"/>
          <w:szCs w:val="20"/>
        </w:rPr>
        <w:t> :</w:t>
      </w:r>
    </w:p>
    <w:p w:rsidR="00D62F54" w:rsidRPr="00F92579" w:rsidRDefault="00D62F54" w:rsidP="00D62F54">
      <w:pPr>
        <w:tabs>
          <w:tab w:val="left" w:pos="567"/>
        </w:tabs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b/>
          <w:sz w:val="20"/>
          <w:szCs w:val="20"/>
        </w:rPr>
        <w:t>-</w:t>
      </w:r>
      <w:r w:rsidR="006B03DE">
        <w:rPr>
          <w:rFonts w:ascii="Arial" w:hAnsi="Arial" w:cs="Arial"/>
          <w:b/>
          <w:sz w:val="20"/>
          <w:szCs w:val="20"/>
        </w:rPr>
        <w:t xml:space="preserve"> </w:t>
      </w:r>
      <w:r w:rsidRPr="00F92579">
        <w:rPr>
          <w:rFonts w:ascii="Arial" w:hAnsi="Arial" w:cs="Arial"/>
          <w:sz w:val="20"/>
          <w:szCs w:val="20"/>
        </w:rPr>
        <w:t>pour la liste d’aptitude à la direction d’école spécialisée</w:t>
      </w: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b/>
          <w:sz w:val="20"/>
          <w:szCs w:val="20"/>
        </w:rPr>
        <w:t xml:space="preserve">- </w:t>
      </w:r>
      <w:r w:rsidRPr="00F92579">
        <w:rPr>
          <w:rFonts w:ascii="Arial" w:hAnsi="Arial" w:cs="Arial"/>
          <w:sz w:val="20"/>
          <w:szCs w:val="20"/>
        </w:rPr>
        <w:t>pour la liste d’aptitude à la direction d’école d’application</w:t>
      </w:r>
    </w:p>
    <w:p w:rsidR="00D62F54" w:rsidRPr="00F92579" w:rsidRDefault="00D62F54" w:rsidP="00D62F5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</w:p>
    <w:p w:rsidR="00D62F54" w:rsidRPr="00F92579" w:rsidRDefault="00D62F54" w:rsidP="00D62F5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  <w:r w:rsidRPr="00F92579">
        <w:rPr>
          <w:rFonts w:ascii="Arial" w:hAnsi="Arial" w:cs="Arial"/>
          <w:sz w:val="20"/>
          <w:szCs w:val="20"/>
          <w:u w:val="single"/>
        </w:rPr>
        <w:t xml:space="preserve">► Convocation aux </w:t>
      </w:r>
      <w:r>
        <w:rPr>
          <w:rFonts w:ascii="Arial" w:hAnsi="Arial" w:cs="Arial"/>
          <w:sz w:val="20"/>
          <w:szCs w:val="20"/>
          <w:u w:val="single"/>
        </w:rPr>
        <w:t>entretiens</w:t>
      </w:r>
      <w:r w:rsidRPr="00F92579">
        <w:rPr>
          <w:rFonts w:ascii="Arial" w:hAnsi="Arial" w:cs="Arial"/>
          <w:sz w:val="20"/>
          <w:szCs w:val="20"/>
          <w:u w:val="single"/>
        </w:rPr>
        <w:t> : mêmes conditions que celles figurant sur l’annexe I</w:t>
      </w:r>
    </w:p>
    <w:p w:rsidR="00D62F54" w:rsidRPr="00F92579" w:rsidRDefault="00D62F54" w:rsidP="00D62F5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276" w:right="139"/>
        <w:jc w:val="both"/>
        <w:rPr>
          <w:rFonts w:ascii="Arial" w:hAnsi="Arial" w:cs="Arial"/>
          <w:sz w:val="20"/>
          <w:szCs w:val="20"/>
        </w:rPr>
      </w:pPr>
    </w:p>
    <w:p w:rsidR="00D62F54" w:rsidRPr="00F92579" w:rsidRDefault="00D62F54" w:rsidP="00D62F5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  <w:r w:rsidRPr="00F92579">
        <w:rPr>
          <w:rFonts w:ascii="Arial" w:hAnsi="Arial" w:cs="Arial"/>
          <w:sz w:val="20"/>
          <w:szCs w:val="20"/>
          <w:u w:val="single"/>
        </w:rPr>
        <w:t>► Déroulement de l’entretien</w:t>
      </w: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L’entretien, d’une durée totale de 30 minutes environ, est précédé de la préparation (30 minutes) du sujet tiré au sort par le</w:t>
      </w:r>
      <w:r>
        <w:rPr>
          <w:rFonts w:ascii="Arial" w:hAnsi="Arial" w:cs="Arial"/>
          <w:sz w:val="20"/>
          <w:szCs w:val="20"/>
        </w:rPr>
        <w:t>s</w:t>
      </w:r>
      <w:r w:rsidRPr="00F92579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(e)s</w:t>
      </w:r>
      <w:r w:rsidRPr="00F92579">
        <w:rPr>
          <w:rFonts w:ascii="Arial" w:hAnsi="Arial" w:cs="Arial"/>
          <w:sz w:val="20"/>
          <w:szCs w:val="20"/>
        </w:rPr>
        <w:t>.</w:t>
      </w: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□ 30 minutes d’entretien pendant lesquelles le</w:t>
      </w:r>
      <w:r>
        <w:rPr>
          <w:rFonts w:ascii="Arial" w:hAnsi="Arial" w:cs="Arial"/>
          <w:sz w:val="20"/>
          <w:szCs w:val="20"/>
        </w:rPr>
        <w:t>s</w:t>
      </w:r>
      <w:r w:rsidRPr="00F92579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(e)s</w:t>
      </w:r>
      <w:r w:rsidRPr="00F92579">
        <w:rPr>
          <w:rFonts w:ascii="Arial" w:hAnsi="Arial" w:cs="Arial"/>
          <w:sz w:val="20"/>
          <w:szCs w:val="20"/>
        </w:rPr>
        <w:t xml:space="preserve"> s’exprimer</w:t>
      </w:r>
      <w:r>
        <w:rPr>
          <w:rFonts w:ascii="Arial" w:hAnsi="Arial" w:cs="Arial"/>
          <w:sz w:val="20"/>
          <w:szCs w:val="20"/>
        </w:rPr>
        <w:t>ont</w:t>
      </w:r>
      <w:r w:rsidRPr="00F92579">
        <w:rPr>
          <w:rFonts w:ascii="Arial" w:hAnsi="Arial" w:cs="Arial"/>
          <w:sz w:val="20"/>
          <w:szCs w:val="20"/>
        </w:rPr>
        <w:t xml:space="preserve"> sur le sujet. A cette occasion, seront notamment constatées les aptitudes au dialogue, à l’écoute de l’interlocuteur, à la capacité à exposer et à argumenter.</w:t>
      </w: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</w:rPr>
      </w:pPr>
    </w:p>
    <w:p w:rsidR="00D62F54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  <w:r w:rsidRPr="00F92579">
        <w:rPr>
          <w:rFonts w:ascii="Arial" w:hAnsi="Arial" w:cs="Arial"/>
          <w:sz w:val="20"/>
          <w:szCs w:val="20"/>
          <w:u w:val="single"/>
        </w:rPr>
        <w:t>► Appréciation de la commission</w:t>
      </w:r>
    </w:p>
    <w:p w:rsidR="00D62F54" w:rsidRPr="00F92579" w:rsidRDefault="00D62F54" w:rsidP="00D62F54">
      <w:pPr>
        <w:spacing w:line="240" w:lineRule="exact"/>
        <w:ind w:left="-1276" w:right="139"/>
        <w:jc w:val="both"/>
        <w:rPr>
          <w:rFonts w:ascii="Arial" w:hAnsi="Arial" w:cs="Arial"/>
          <w:sz w:val="20"/>
          <w:szCs w:val="20"/>
          <w:u w:val="single"/>
        </w:rPr>
      </w:pPr>
    </w:p>
    <w:p w:rsidR="00D62F54" w:rsidRPr="00F92579" w:rsidRDefault="00D62F54" w:rsidP="00D62F5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276"/>
        <w:rPr>
          <w:rFonts w:ascii="Arial" w:hAnsi="Arial"/>
          <w:sz w:val="20"/>
          <w:szCs w:val="20"/>
        </w:rPr>
      </w:pPr>
      <w:r w:rsidRPr="00F92579">
        <w:rPr>
          <w:rFonts w:ascii="Arial" w:hAnsi="Arial" w:cs="Arial"/>
          <w:sz w:val="20"/>
          <w:szCs w:val="20"/>
        </w:rPr>
        <w:t>La commission complètera, pour chacun des candidat</w:t>
      </w:r>
      <w:r>
        <w:rPr>
          <w:rFonts w:ascii="Arial" w:hAnsi="Arial" w:cs="Arial"/>
          <w:sz w:val="20"/>
          <w:szCs w:val="20"/>
        </w:rPr>
        <w:t>(e)</w:t>
      </w:r>
      <w:r w:rsidRPr="00F92579">
        <w:rPr>
          <w:rFonts w:ascii="Arial" w:hAnsi="Arial" w:cs="Arial"/>
          <w:sz w:val="20"/>
          <w:szCs w:val="20"/>
        </w:rPr>
        <w:t>s, une fiche d’appréciation signée par chacun de ses membres. Le sujet tiré au sort, signé par le</w:t>
      </w:r>
      <w:r>
        <w:rPr>
          <w:rFonts w:ascii="Arial" w:hAnsi="Arial" w:cs="Arial"/>
          <w:sz w:val="20"/>
          <w:szCs w:val="20"/>
        </w:rPr>
        <w:t>s</w:t>
      </w:r>
      <w:r w:rsidRPr="00F92579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(e)s</w:t>
      </w:r>
      <w:r w:rsidRPr="00F92579">
        <w:rPr>
          <w:rFonts w:ascii="Arial" w:hAnsi="Arial" w:cs="Arial"/>
          <w:sz w:val="20"/>
          <w:szCs w:val="20"/>
        </w:rPr>
        <w:t>, sera joint au dossier. Les candidat</w:t>
      </w:r>
      <w:r>
        <w:rPr>
          <w:rFonts w:ascii="Arial" w:hAnsi="Arial" w:cs="Arial"/>
          <w:sz w:val="20"/>
          <w:szCs w:val="20"/>
        </w:rPr>
        <w:t>(e)</w:t>
      </w:r>
      <w:r w:rsidRPr="00F92579">
        <w:rPr>
          <w:rFonts w:ascii="Arial" w:hAnsi="Arial" w:cs="Arial"/>
          <w:sz w:val="20"/>
          <w:szCs w:val="20"/>
        </w:rPr>
        <w:t xml:space="preserve">s recevront </w:t>
      </w:r>
      <w:r>
        <w:rPr>
          <w:rFonts w:ascii="Arial" w:hAnsi="Arial" w:cs="Arial"/>
          <w:sz w:val="20"/>
          <w:szCs w:val="20"/>
        </w:rPr>
        <w:t xml:space="preserve">la </w:t>
      </w:r>
      <w:r w:rsidRPr="00F92579">
        <w:rPr>
          <w:rFonts w:ascii="Arial" w:hAnsi="Arial" w:cs="Arial"/>
          <w:sz w:val="20"/>
          <w:szCs w:val="20"/>
        </w:rPr>
        <w:t>notification des décisions les concernan</w:t>
      </w:r>
      <w:r w:rsidRPr="00F9257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2C793D5" wp14:editId="3D7F0E19">
                <wp:simplePos x="0" y="0"/>
                <wp:positionH relativeFrom="page">
                  <wp:posOffset>1054735</wp:posOffset>
                </wp:positionH>
                <wp:positionV relativeFrom="page">
                  <wp:posOffset>5930265</wp:posOffset>
                </wp:positionV>
                <wp:extent cx="228600" cy="342900"/>
                <wp:effectExtent l="0" t="0" r="254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2F54" w:rsidRPr="00AC7E06" w:rsidRDefault="00D62F54" w:rsidP="00D62F54">
                            <w:pPr>
                              <w:pStyle w:val="Paragraphestandard"/>
                              <w:rPr>
                                <w:rFonts w:ascii="Lucida Grande" w:hAnsi="Zapf Dingbats"/>
                                <w:color w:val="032375"/>
                              </w:rPr>
                            </w:pPr>
                          </w:p>
                          <w:p w:rsidR="00D62F54" w:rsidRDefault="00D62F54" w:rsidP="00D62F54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eastAsia="fr-FR" w:bidi="x-none"/>
                              </w:rPr>
                            </w:pPr>
                          </w:p>
                          <w:p w:rsidR="00D62F54" w:rsidRDefault="00D62F54" w:rsidP="00D62F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93D5" id="Rectangle 3" o:spid="_x0000_s1026" style="position:absolute;left:0;text-align:left;margin-left:83.05pt;margin-top:466.95pt;width:18pt;height:27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" filled="f" stroked="f">
                <v:path arrowok="t"/>
                <v:textbox inset="0,0,0,0">
                  <w:txbxContent>
                    <w:p w:rsidR="00D62F54" w:rsidRPr="00AC7E06" w:rsidRDefault="00D62F54" w:rsidP="00D62F54">
                      <w:pPr>
                        <w:pStyle w:val="Paragraphestandard"/>
                        <w:rPr>
                          <w:rFonts w:ascii="Lucida Grande" w:hAnsi="Zapf Dingbats"/>
                          <w:color w:val="032375"/>
                        </w:rPr>
                      </w:pPr>
                    </w:p>
                    <w:p w:rsidR="00D62F54" w:rsidRDefault="00D62F54" w:rsidP="00D62F54">
                      <w:pPr>
                        <w:rPr>
                          <w:rFonts w:eastAsia="Times New Roman"/>
                          <w:color w:val="auto"/>
                          <w:sz w:val="20"/>
                          <w:lang w:eastAsia="fr-FR" w:bidi="x-none"/>
                        </w:rPr>
                      </w:pPr>
                    </w:p>
                    <w:p w:rsidR="00D62F54" w:rsidRDefault="00D62F54" w:rsidP="00D62F54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t.</w:t>
      </w:r>
      <w:r w:rsidRPr="00F92579">
        <w:rPr>
          <w:rFonts w:ascii="Arial" w:hAnsi="Arial"/>
          <w:sz w:val="20"/>
          <w:szCs w:val="20"/>
        </w:rPr>
        <w:tab/>
        <w:t xml:space="preserve">  </w:t>
      </w:r>
    </w:p>
    <w:p w:rsidR="002235B3" w:rsidRDefault="00191513"/>
    <w:sectPr w:rsidR="002235B3" w:rsidSect="00D62F54">
      <w:headerReference w:type="default" r:id="rId7"/>
      <w:footerReference w:type="default" r:id="rId8"/>
      <w:pgSz w:w="11910" w:h="16840"/>
      <w:pgMar w:top="964" w:right="964" w:bottom="964" w:left="25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E9" w:rsidRDefault="006B03DE">
      <w:r>
        <w:separator/>
      </w:r>
    </w:p>
  </w:endnote>
  <w:endnote w:type="continuationSeparator" w:id="0">
    <w:p w:rsidR="008B57E9" w:rsidRDefault="006B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740950"/>
      <w:docPartObj>
        <w:docPartGallery w:val="Page Numbers (Bottom of Page)"/>
        <w:docPartUnique/>
      </w:docPartObj>
    </w:sdtPr>
    <w:sdtEndPr/>
    <w:sdtContent>
      <w:p w:rsidR="0076405B" w:rsidRDefault="00D62F5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13" w:rsidRPr="00191513">
          <w:rPr>
            <w:noProof/>
            <w:lang w:val="fr-FR"/>
          </w:rPr>
          <w:t>1</w:t>
        </w:r>
        <w:r>
          <w:fldChar w:fldCharType="end"/>
        </w:r>
      </w:p>
    </w:sdtContent>
  </w:sdt>
  <w:p w:rsidR="002C53DF" w:rsidRPr="009F692C" w:rsidRDefault="0019151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E9" w:rsidRDefault="006B03DE">
      <w:r>
        <w:separator/>
      </w:r>
    </w:p>
  </w:footnote>
  <w:footnote w:type="continuationSeparator" w:id="0">
    <w:p w:rsidR="008B57E9" w:rsidRDefault="006B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1915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5F73"/>
    <w:multiLevelType w:val="hybridMultilevel"/>
    <w:tmpl w:val="EE62AF5E"/>
    <w:lvl w:ilvl="0" w:tplc="E07EEBBA">
      <w:numFmt w:val="bullet"/>
      <w:lvlText w:val="-"/>
      <w:lvlJc w:val="left"/>
      <w:pPr>
        <w:ind w:left="-205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54"/>
    <w:rsid w:val="00003467"/>
    <w:rsid w:val="000506E6"/>
    <w:rsid w:val="000E200A"/>
    <w:rsid w:val="001147D1"/>
    <w:rsid w:val="00150AE7"/>
    <w:rsid w:val="00191513"/>
    <w:rsid w:val="001F1EF4"/>
    <w:rsid w:val="004A7AEB"/>
    <w:rsid w:val="005758C3"/>
    <w:rsid w:val="00673E09"/>
    <w:rsid w:val="006B03DE"/>
    <w:rsid w:val="008B57E9"/>
    <w:rsid w:val="008E00C9"/>
    <w:rsid w:val="00976BFB"/>
    <w:rsid w:val="00C56612"/>
    <w:rsid w:val="00D13C0E"/>
    <w:rsid w:val="00D62F54"/>
    <w:rsid w:val="00E7764B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CA284-A7B0-4AF4-B7DD-1E9E0EC9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62F54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color w:val="auto"/>
      <w:sz w:val="20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D62F54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D62F5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2F54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Theme="minorHAnsi" w:hAnsi="Arial" w:cs="Arial"/>
      <w:color w:val="auto"/>
      <w:sz w:val="22"/>
      <w:szCs w:val="22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62F54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62F54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Theme="minorHAnsi" w:hAnsi="Arial" w:cs="Arial"/>
      <w:color w:val="auto"/>
      <w:sz w:val="22"/>
      <w:szCs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D62F54"/>
    <w:rPr>
      <w:rFonts w:ascii="Arial" w:hAnsi="Arial" w:cs="Arial"/>
      <w:lang w:val="en-US"/>
    </w:rPr>
  </w:style>
  <w:style w:type="paragraph" w:customStyle="1" w:styleId="Paragraphestandard">
    <w:name w:val="[Paragraphe standard]"/>
    <w:rsid w:val="00D62F54"/>
    <w:pPr>
      <w:widowControl w:val="0"/>
      <w:spacing w:after="0" w:line="288" w:lineRule="auto"/>
    </w:pPr>
    <w:rPr>
      <w:rFonts w:ascii="Times" w:eastAsia="ヒラギノ角ゴ Pro W3" w:hAnsi="Times" w:cs="Times New Roman"/>
      <w:color w:val="000000"/>
      <w:sz w:val="24"/>
      <w:szCs w:val="20"/>
      <w:lang w:eastAsia="fr-FR"/>
    </w:rPr>
  </w:style>
  <w:style w:type="character" w:customStyle="1" w:styleId="sender">
    <w:name w:val="sender"/>
    <w:basedOn w:val="Policepardfaut"/>
    <w:rsid w:val="00E7764B"/>
  </w:style>
  <w:style w:type="paragraph" w:styleId="Textedebulles">
    <w:name w:val="Balloon Text"/>
    <w:basedOn w:val="Normal"/>
    <w:link w:val="TextedebullesCar"/>
    <w:uiPriority w:val="99"/>
    <w:semiHidden/>
    <w:unhideWhenUsed/>
    <w:rsid w:val="005758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8C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cp:lastPrinted>2023-10-05T07:49:00Z</cp:lastPrinted>
  <dcterms:created xsi:type="dcterms:W3CDTF">2023-10-05T09:51:00Z</dcterms:created>
  <dcterms:modified xsi:type="dcterms:W3CDTF">2023-10-05T09:51:00Z</dcterms:modified>
</cp:coreProperties>
</file>